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95" w:rsidRDefault="00A84595" w:rsidP="00A84595">
      <w:pPr>
        <w:spacing w:line="276" w:lineRule="auto"/>
        <w:jc w:val="center"/>
        <w:rPr>
          <w:b/>
          <w:lang w:val="kk-KZ" w:eastAsia="en-US"/>
        </w:rPr>
      </w:pPr>
      <w:r>
        <w:rPr>
          <w:b/>
          <w:lang w:val="kk-KZ" w:eastAsia="en-US"/>
        </w:rPr>
        <w:t>СӨЖ тапсырмасын орындау үшін әдістемелік нұсқау</w:t>
      </w:r>
    </w:p>
    <w:p w:rsidR="00A84595" w:rsidRDefault="00A84595" w:rsidP="00A84595">
      <w:pPr>
        <w:spacing w:line="276" w:lineRule="auto"/>
        <w:ind w:firstLine="708"/>
        <w:jc w:val="both"/>
        <w:rPr>
          <w:lang w:val="kk-KZ" w:eastAsia="en-US"/>
        </w:rPr>
      </w:pPr>
      <w:r>
        <w:rPr>
          <w:b/>
          <w:lang w:val="kk-KZ" w:eastAsia="en-US"/>
        </w:rPr>
        <w:t xml:space="preserve"> </w:t>
      </w:r>
      <w:r>
        <w:rPr>
          <w:lang w:val="kk-KZ" w:eastAsia="en-US"/>
        </w:rPr>
        <w:t>СӨЖ кезінде ү</w:t>
      </w:r>
      <w:bookmarkStart w:id="0" w:name="_GoBack"/>
      <w:bookmarkEnd w:id="0"/>
      <w:r>
        <w:rPr>
          <w:lang w:val="kk-KZ" w:eastAsia="en-US"/>
        </w:rPr>
        <w:t>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A84595" w:rsidRDefault="00A84595" w:rsidP="00A84595">
      <w:pPr>
        <w:spacing w:line="276" w:lineRule="auto"/>
        <w:ind w:firstLine="708"/>
        <w:jc w:val="both"/>
        <w:rPr>
          <w:b/>
          <w:i/>
          <w:lang w:val="kk-KZ" w:eastAsia="en-US"/>
        </w:rPr>
      </w:pPr>
      <w:r>
        <w:rPr>
          <w:b/>
          <w:i/>
          <w:lang w:val="kk-KZ" w:eastAsia="en-US"/>
        </w:rPr>
        <w:t xml:space="preserve">Рефераттың орындалуына қойылатын талаптар. </w:t>
      </w:r>
    </w:p>
    <w:p w:rsidR="00A84595" w:rsidRDefault="00A84595" w:rsidP="00A84595">
      <w:pPr>
        <w:jc w:val="both"/>
        <w:rPr>
          <w:lang w:val="kk-KZ"/>
        </w:rPr>
      </w:pPr>
      <w:r>
        <w:rPr>
          <w:lang w:val="kk-KZ"/>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A84595" w:rsidRDefault="00A84595" w:rsidP="00A84595">
      <w:pPr>
        <w:jc w:val="both"/>
        <w:rPr>
          <w:lang w:val="kk-KZ"/>
        </w:rPr>
      </w:pPr>
      <w:r>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A84595" w:rsidRDefault="00A84595" w:rsidP="00A84595">
      <w:pPr>
        <w:jc w:val="both"/>
        <w:rPr>
          <w:lang w:val="kk-KZ"/>
        </w:rPr>
      </w:pPr>
      <w:r>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A84595" w:rsidRDefault="00A84595" w:rsidP="00A84595">
      <w:pPr>
        <w:spacing w:line="276" w:lineRule="auto"/>
        <w:jc w:val="center"/>
        <w:rPr>
          <w:b/>
          <w:i/>
          <w:lang w:val="kk-KZ" w:eastAsia="en-US"/>
        </w:rPr>
      </w:pPr>
    </w:p>
    <w:p w:rsidR="00A84595" w:rsidRDefault="00A84595" w:rsidP="00A84595">
      <w:pPr>
        <w:spacing w:line="276" w:lineRule="auto"/>
        <w:jc w:val="center"/>
        <w:rPr>
          <w:b/>
          <w:i/>
          <w:lang w:val="kk-KZ" w:eastAsia="en-US"/>
        </w:rPr>
      </w:pPr>
    </w:p>
    <w:p w:rsidR="00A84595" w:rsidRDefault="00A84595" w:rsidP="00A84595">
      <w:pPr>
        <w:spacing w:line="276" w:lineRule="auto"/>
        <w:jc w:val="center"/>
        <w:rPr>
          <w:b/>
          <w:i/>
          <w:lang w:val="kk-KZ" w:eastAsia="en-US"/>
        </w:rPr>
      </w:pPr>
      <w:r>
        <w:rPr>
          <w:b/>
          <w:i/>
          <w:lang w:val="kk-KZ" w:eastAsia="en-US"/>
        </w:rPr>
        <w:t>ОСӨЖ-ді орындауға әдістемелік нұсқау</w:t>
      </w:r>
    </w:p>
    <w:p w:rsidR="00A84595" w:rsidRDefault="00A84595" w:rsidP="00A84595">
      <w:pPr>
        <w:spacing w:line="276" w:lineRule="auto"/>
        <w:ind w:firstLine="708"/>
        <w:jc w:val="both"/>
        <w:rPr>
          <w:lang w:val="kk-KZ" w:eastAsia="en-US"/>
        </w:rPr>
      </w:pPr>
      <w:r>
        <w:rPr>
          <w:lang w:val="kk-KZ" w:eastAsia="en-US"/>
        </w:rPr>
        <w:t xml:space="preserve">ОСӨЖ де керек және кездесетін келесі түрлері: </w:t>
      </w:r>
    </w:p>
    <w:p w:rsidR="00A84595" w:rsidRDefault="00A84595" w:rsidP="00A84595">
      <w:pPr>
        <w:spacing w:line="276" w:lineRule="auto"/>
        <w:ind w:firstLine="708"/>
        <w:jc w:val="both"/>
        <w:rPr>
          <w:lang w:val="kk-KZ" w:eastAsia="en-US"/>
        </w:rPr>
      </w:pPr>
      <w:r>
        <w:rPr>
          <w:lang w:val="kk-KZ" w:eastAsia="en-US"/>
        </w:rPr>
        <w:t>Дискуссия. Оқудағы белсенді әдіс, латын тілінен аударғанда «дискуссио» зерттеу және талдау.Бұл ұжыммен талқылау зерттеу, ақпаратпен алмасу, оймен, өзіндік пікірмен алмасу. Дискуссия өзіндік әдістемелік шара түрінде немес басқа әдістердіңэлементтерінен өтуі мүмкін. Мысалы, ой шабуылы, іскерлік ойын, прес конференция ретінде.</w:t>
      </w:r>
    </w:p>
    <w:p w:rsidR="00A84595" w:rsidRDefault="00A84595" w:rsidP="00A84595">
      <w:pPr>
        <w:ind w:firstLine="708"/>
        <w:jc w:val="both"/>
        <w:rPr>
          <w:lang w:val="kk-KZ"/>
        </w:rPr>
      </w:pPr>
      <w:r>
        <w:rPr>
          <w:b/>
          <w:i/>
          <w:lang w:val="kk-KZ"/>
        </w:rPr>
        <w:t>SWOT анализ</w:t>
      </w:r>
      <w:r>
        <w:rPr>
          <w:b/>
          <w:lang w:val="kk-KZ"/>
        </w:rPr>
        <w:t xml:space="preserve"> –</w:t>
      </w:r>
      <w:r>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 жалпы мәселені талқылауы.</w:t>
      </w:r>
    </w:p>
    <w:p w:rsidR="00A84595" w:rsidRDefault="00A84595" w:rsidP="00A84595">
      <w:pPr>
        <w:jc w:val="both"/>
        <w:rPr>
          <w:lang w:val="kk-KZ"/>
        </w:rPr>
      </w:pPr>
      <w:r>
        <w:rPr>
          <w:lang w:val="kk-KZ"/>
        </w:rPr>
        <w:tab/>
      </w:r>
      <w:r>
        <w:rPr>
          <w:b/>
          <w:i/>
          <w:lang w:val="kk-KZ"/>
        </w:rPr>
        <w:t xml:space="preserve">Жоба әдісі  </w:t>
      </w:r>
      <w:r>
        <w:rPr>
          <w:lang w:val="kk-KZ"/>
        </w:rPr>
        <w:t>- бұл қазіргі замандағы белсенді инновациялық оқыту әдісі. ол Қазақстанда жалпы оқыту тәжірибесіне кеңінен  енгізілген. Жобалар жекеше, қаржы институтының, мерзімді баспасөздің бақылауы,  топтық немесе ықшам бола алады. ПР және жарнама мақалаларын  салыстырмалы етіп құрылымды құру.</w:t>
      </w:r>
    </w:p>
    <w:p w:rsidR="008845FF" w:rsidRDefault="008845FF"/>
    <w:sectPr w:rsidR="008845FF" w:rsidSect="00884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84595"/>
    <w:rsid w:val="008845FF"/>
    <w:rsid w:val="00A84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5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Company>SPecialiST RePack</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2022-01-16T20:38:00Z</dcterms:created>
  <dcterms:modified xsi:type="dcterms:W3CDTF">2022-01-16T20:39:00Z</dcterms:modified>
</cp:coreProperties>
</file>